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spacing w:after="24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AF627D">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 xml:space="preserve">Voting results: </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 xml:space="preserve">on agenda </w:t>
            </w:r>
            <w:r w:rsidRPr="00AF627D">
              <w:rPr>
                <w:rFonts w:ascii="Times New Roman" w:eastAsia="Times New Roman" w:hAnsi="Times New Roman" w:cs="Times New Roman"/>
                <w:color w:val="auto"/>
                <w:rtl w:val="0"/>
                <w:lang w:val="en-US"/>
              </w:rPr>
              <w:t>item 1:</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“FOR” – 9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“AGAINST” – 0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 xml:space="preserve">“ABSTAINED” – 2 votes; </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 xml:space="preserve">on agenda </w:t>
            </w:r>
            <w:r w:rsidRPr="00AF627D">
              <w:rPr>
                <w:rFonts w:ascii="Times New Roman" w:eastAsia="Times New Roman" w:hAnsi="Times New Roman" w:cs="Times New Roman"/>
                <w:color w:val="auto"/>
                <w:rtl w:val="0"/>
                <w:lang w:val="en-US"/>
              </w:rPr>
              <w:t>item 2:</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“FOR” – 9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“AGAINST” – 0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 xml:space="preserve">“ABSTAINED” – 2 votes; </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 xml:space="preserve">on agenda </w:t>
            </w:r>
            <w:r w:rsidRPr="00AF627D">
              <w:rPr>
                <w:rFonts w:ascii="Times New Roman" w:eastAsia="Times New Roman" w:hAnsi="Times New Roman" w:cs="Times New Roman"/>
                <w:color w:val="auto"/>
                <w:rtl w:val="0"/>
                <w:lang w:val="en-US"/>
              </w:rPr>
              <w:t>item 3:</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“FOR” – 9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“AGAINST” – 0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 xml:space="preserve">“ABSTAINED” – 2 votes; </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 xml:space="preserve">on agenda </w:t>
            </w:r>
            <w:r w:rsidRPr="00AF627D">
              <w:rPr>
                <w:rFonts w:ascii="Times New Roman" w:eastAsia="Times New Roman" w:hAnsi="Times New Roman" w:cs="Times New Roman"/>
                <w:color w:val="auto"/>
                <w:rtl w:val="0"/>
                <w:lang w:val="en-US"/>
              </w:rPr>
              <w:t>item 4:</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“FOR” – 9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“Against” – 2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 xml:space="preserve">“ABSTAINED” –0 votes; </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 xml:space="preserve">on agenda </w:t>
            </w:r>
            <w:r w:rsidRPr="00AF627D">
              <w:rPr>
                <w:rFonts w:ascii="Times New Roman" w:eastAsia="Times New Roman" w:hAnsi="Times New Roman" w:cs="Times New Roman"/>
                <w:color w:val="auto"/>
                <w:rtl w:val="0"/>
                <w:lang w:val="en-US"/>
              </w:rPr>
              <w:t>item 5:</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“FOR” – 9 votes;</w:t>
            </w:r>
          </w:p>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“Against” – 2 votes;</w:t>
            </w:r>
          </w:p>
          <w:p w:rsidR="00AF627D" w:rsidRPr="00AF627D" w:rsidP="00AF627D">
            <w:pPr>
              <w:widowControl/>
              <w:bidi w:val="0"/>
              <w:spacing w:after="24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“Abstained” - 0 votes.</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center"/>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Insider Information disclosure on agenda item 1: "On approval of the credit plan of PJSC" IDGC of the South "for the 1st quarter of 2018 in the new edition."</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2.2.1.</w:t>
              <w:tab/>
              <w:t>Content of the resolution adopted by the issuer’s board of directors:</w:t>
            </w:r>
          </w:p>
          <w:p w:rsidR="00AF627D" w:rsidRPr="00AF627D" w:rsidP="00AF627D">
            <w:pPr>
              <w:widowControl/>
              <w:bidi w:val="0"/>
              <w:spacing w:after="24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To approve the credit plan of PJSC "IDGC of the South" for the 1st quarter of 2018 in the new edition in accordance with annex № 1 to the present decision of the Board of Directors of the company.</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center"/>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Insider Information Disclosure on agenda item 2: "On consideration of the updated register (Implementation plan) of non-core assets of the company and the report on the implementation of non-core assets of the company for the 4th quarter of 2017."</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2.2.2.</w:t>
              <w:tab/>
              <w:t>Content of the resolution adopted by the issuer’s board of directors:</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1.</w:t>
              <w:tab/>
              <w:t>To approve the updated register (Implementation plan) of non-core assets of PJSC "IDGC of the South" as of 31.12.2017 according to annex № 2 to this decision of the board of Directors.</w:t>
            </w:r>
          </w:p>
          <w:p w:rsidR="00AF627D" w:rsidRPr="00AF627D" w:rsidP="00AF627D">
            <w:pPr>
              <w:widowControl/>
              <w:bidi w:val="0"/>
              <w:spacing w:after="24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w:t>
              <w:tab/>
              <w:t>Take note of the report of the Director General on the implementation of the Register (Implementation plan) of non-core assets of PJSC "IDGC of the South" as of 31.12.2017 according to annex № 3 to this decision of the board of Directors.</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center"/>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Insider Information Disclosure on agenda item 3: "On consideration of the report of the sole executive body of the company on the approval of the investment program in the Ministry of Energy of Russia and the reasons for deviations of the approved investment program from the project approved by the Board of Directors of the company (if Deviations) "</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2.2.3.</w:t>
              <w:tab/>
              <w:t>Content of the resolution adopted by the issuer’s board of directors:</w:t>
            </w:r>
          </w:p>
          <w:p w:rsidR="00AF627D" w:rsidRPr="00AF627D" w:rsidP="00AF627D">
            <w:pPr>
              <w:widowControl/>
              <w:bidi w:val="0"/>
              <w:spacing w:after="24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To take note of the report of the general Director of the company on approving the project of amendments to the investment program of PJSC "IDGC of the South" for the period 20162022, in the Ministry of Energy of Russia and information on the reasons of deviations of the approved investment Program from the project approved by the Board of Directors of the company 31.03.2017 (protocol from 03.04.2017 № 225/2017) in accordance with annex № 4 to this decision of the Board of Directors of the company.</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center"/>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Insider information disclosure on agenda item 4: "On the preliminary approval of the decision on the commission of a transaction related to the acquisition of property constituting a fixed asset, the purpose of which is not the production, transmission, dispatching, distribution of electrical Energy and heat energy-a complex of non-residential buildings and a land plot located at the address: Volgograd region, Frolov, ul. Karl Marx, D. 27 for placement of personnel and technics of Frolov Res of branch of PJSC "IDGC of the South"-"Volgogradenergo" belonging to LLC "Gazsvjazsistema".</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2.2.4.</w:t>
              <w:tab/>
              <w:t>Content of the resolution adopted by the issuer’s board of directors:</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1.</w:t>
              <w:tab/>
              <w:t>To approve the decision on fulfillment by the company of the transaction connected with acquisition of the property constituting the basic means, the purpose of which use is not production, transfer, dispatching, distribution of electric energy and thermal Energy-a complex of non-residential buildings and a land plot located at the address: Volgograd region, Frolov, ul. Karl Marx, D. 27 for placement of personnel and technics of Frolov Res of branch of PJSC "IDGC of the South"-"Volgogradenergo" belonging to LLC "Gazsvjazsistema", on the following essential conditions:</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Composition of Purchased property: Complex of non-residential buildings and land for their placement and operation, located at: Volgograd region, Frolov, ul. Karl Marx, D. 27 (hereinafter-the property), in accordance with annex № 5 to the present decision of the Board of Directors of the company.</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Method of Property Acquisition: Conclusion of the contract of purchase and sale of the property. Counterparty: "Gazsvjazsistema" limited liability company.</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Purchase Price: In accordance with the market price of 8 000 000 (eight million) rubles, including VAT, determined on the basis of the report № 17/16-The Independent Appraiser of LLC "Alfa consult".</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Order of transfer of property: The property is transferred by the seller to the buyer on the acts of acceptance, signed by the authorized representatives of the parties, within 10 working days from the date of conclusion of the contract.</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The order of payments for the property: The buyer pays the value of the property within 30 (thirty) banking days from the date of signing the Transfer Act, provided the seller has an invoice issued in accordance with the requirements of the legislation of the Russian Federation.</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Ownership of property is transferred in accordance with the procedure established by the legislation of the Russian Federation.</w:t>
            </w:r>
          </w:p>
          <w:p w:rsidR="00AF627D" w:rsidRPr="00AF627D" w:rsidP="00AF627D">
            <w:pPr>
              <w:widowControl/>
              <w:bidi w:val="0"/>
              <w:spacing w:after="24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w:t>
              <w:tab/>
              <w:t>The transaction is carried out by the company subject to approval by the Ministry of Energy of the Russian Federation of an investment program providing a source for the acquisition of property constituting fixed assets, the purpose of which is not Is the production, transmission, dispatching, distribution of electrical energy and heat energy-a complex of non-residential buildings and a land plot located at the address: Volgograd region, Frolov, Karl Marx Str., 27 for accommodation of personnel and technics of Frolov Res of branch of PJSC "IDGC of the South"-"Volgogradenergo" belonging to LLC "Gazsvjazsistema".</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center"/>
              <w:rPr>
                <w:rFonts w:ascii="Times New Roman" w:eastAsia="Times New Roman" w:hAnsi="Times New Roman" w:cs="Times New Roman"/>
                <w:color w:val="auto"/>
              </w:rPr>
            </w:pPr>
            <w:r w:rsidRPr="00AF627D">
              <w:rPr>
                <w:rFonts w:ascii="Times New Roman" w:eastAsia="Times New Roman" w:hAnsi="Times New Roman" w:cs="Times New Roman"/>
                <w:b/>
                <w:bCs/>
                <w:color w:val="auto"/>
                <w:rtl w:val="0"/>
                <w:lang w:val="en-US"/>
              </w:rPr>
              <w:t>Insider information disclosure on agenda item 5: "On approval of targeted programs on production activities of PJSC" IDGC of the South "for 2018-2022."</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2.2.5.</w:t>
              <w:tab/>
              <w:t>Content of the resolution adopted by the issuer’s board of directors:</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1.</w:t>
              <w:tab/>
              <w:t>To approve the target programs on production activity of PJSC "IDGC of the South" for 2018-2022. In accordance with annex № 6 to this decision of the Board of Directors of the company in accordance with the available sources of funding.</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w:t>
              <w:tab/>
              <w:t>To entrust the general director of PJSC "IDGC of the South":</w:t>
            </w:r>
          </w:p>
          <w:p w:rsidR="00AF627D" w:rsidRPr="00AF627D" w:rsidP="00AF627D">
            <w:pPr>
              <w:widowControl/>
              <w:bidi w:val="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2.1.</w:t>
              <w:tab/>
              <w:t>In the formation of the investment program of PJSC "IDGC of the South" to include in the investment program of PJSC "IDGC South" targeted programs on the production activities of PJSC "IDGC South" for 2018-2022. In accordance with the reported sources of financing and scenario conditions of formation of the investment program;</w:t>
            </w:r>
          </w:p>
          <w:p w:rsidR="00AF627D" w:rsidRPr="00AF627D" w:rsidP="00AF627D">
            <w:pPr>
              <w:widowControl/>
              <w:bidi w:val="0"/>
              <w:spacing w:after="240"/>
              <w:ind w:left="57" w:right="57" w:firstLine="652"/>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2.2.</w:t>
              <w:tab/>
              <w:t>To provide annual updating of target programs on production activity of PJSC "IDGC of the South" taking into account the scenario conditions of formation of Ypres and availability of sources of financing, as well as actual technical condition of equipment and necessity Implementation of priority tasks.</w:t>
            </w:r>
          </w:p>
        </w:tc>
      </w:tr>
      <w:tr w:rsidTr="004E7032">
        <w:tblPrEx>
          <w:tblW w:w="5000" w:type="pct"/>
          <w:tblCellMar>
            <w:left w:w="10" w:type="dxa"/>
            <w:right w:w="10" w:type="dxa"/>
          </w:tblCellMar>
          <w:tblLook w:val="0000"/>
        </w:tblPrEx>
        <w:trPr>
          <w:trHeight w:val="20"/>
        </w:trPr>
        <w:tc>
          <w:tcPr>
            <w:tcW w:w="5000" w:type="pct"/>
            <w:gridSpan w:val="4"/>
            <w:shd w:val="clear" w:color="auto" w:fill="FFFFFF"/>
          </w:tcPr>
          <w:p w:rsidR="00AF627D" w:rsidRPr="00AF627D" w:rsidP="00AF627D">
            <w:pPr>
              <w:widowControl/>
              <w:bidi w:val="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AF627D">
              <w:rPr>
                <w:rFonts w:ascii="Times New Roman" w:eastAsia="Times New Roman" w:hAnsi="Times New Roman" w:cs="Times New Roman"/>
                <w:b/>
                <w:bCs/>
                <w:i/>
                <w:iCs/>
                <w:color w:val="auto"/>
                <w:rtl w:val="0"/>
                <w:lang w:val="en-US"/>
              </w:rPr>
              <w:t>February 12, 2018.</w:t>
            </w:r>
          </w:p>
          <w:p w:rsidR="00AF627D" w:rsidRPr="00AF627D" w:rsidP="00AF627D">
            <w:pPr>
              <w:widowControl/>
              <w:bidi w:val="0"/>
              <w:spacing w:after="240"/>
              <w:ind w:left="57" w:right="57"/>
              <w:jc w:val="both"/>
              <w:rPr>
                <w:rFonts w:ascii="Times New Roman" w:eastAsia="Times New Roman" w:hAnsi="Times New Roman" w:cs="Times New Roman"/>
                <w:color w:val="auto"/>
              </w:rPr>
            </w:pPr>
            <w:r w:rsidRPr="00AF627D">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AF627D">
              <w:rPr>
                <w:rFonts w:ascii="Times New Roman" w:eastAsia="Times New Roman" w:hAnsi="Times New Roman" w:cs="Times New Roman"/>
                <w:b/>
                <w:bCs/>
                <w:i/>
                <w:iCs/>
                <w:color w:val="auto"/>
                <w:rtl w:val="0"/>
                <w:lang w:val="en-US"/>
              </w:rPr>
              <w:t>On February 14, 2018, the Protocol № 260/2018.</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5D3955">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Head of department –</w:t>
              <w:br/>
              <w:t xml:space="preserve"> Company Secretary</w:t>
              <w:br/>
              <w:t xml:space="preserve"> (per procuration of 10.01.2018 №103-18)</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7254A9">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«14</w:t>
            </w:r>
            <w:bookmarkStart w:id="0" w:name="_GoBack"/>
            <w:bookmarkEnd w:id="0"/>
            <w:r>
              <w:rPr>
                <w:rFonts w:ascii="Times New Roman" w:eastAsia="Times New Roman" w:hAnsi="Times New Roman" w:cs="Times New Roman"/>
                <w:rtl w:val="0"/>
                <w:lang w:val="en-US"/>
              </w:rPr>
              <w:t>» February 2018.</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AF627D">
      <w:rPr>
        <w:rFonts w:ascii="Times New Roman" w:hAnsi="Times New Roman" w:cs="Times New Roman"/>
        <w:noProof/>
      </w:rPr>
      <w:t>3</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2</cp:revision>
  <dcterms:created xsi:type="dcterms:W3CDTF">2018-03-14T15:40:00Z</dcterms:created>
  <dcterms:modified xsi:type="dcterms:W3CDTF">2018-03-14T15:40:00Z</dcterms:modified>
</cp:coreProperties>
</file>